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Default="00F92268" w:rsidP="00850792">
      <w:pPr>
        <w:pStyle w:val="BodyText"/>
        <w:rPr>
          <w:sz w:val="6"/>
          <w:szCs w:val="6"/>
        </w:rPr>
      </w:pPr>
      <w:r w:rsidRPr="002D3B28">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0F6F4C" w:rsidRPr="00BD1CC1" w14:paraId="10919707" w14:textId="77777777" w:rsidTr="003E40BB">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B10DA40" w14:textId="77777777" w:rsidR="000F6F4C" w:rsidRPr="00BD1CC1" w:rsidRDefault="000F6F4C" w:rsidP="003E40BB">
            <w:pPr>
              <w:pStyle w:val="Header"/>
              <w:rPr>
                <w:rFonts w:ascii="Arial" w:hAnsi="Arial" w:cs="Arial"/>
                <w:sz w:val="16"/>
                <w:szCs w:val="16"/>
              </w:rPr>
            </w:pPr>
            <w:r w:rsidRPr="00BD1CC1">
              <w:rPr>
                <w:rFonts w:ascii="Arial" w:hAnsi="Arial" w:cs="Arial"/>
                <w:sz w:val="16"/>
                <w:szCs w:val="16"/>
              </w:rPr>
              <w:t>Reference number(s)</w:t>
            </w:r>
          </w:p>
        </w:tc>
      </w:tr>
      <w:tr w:rsidR="003C1990" w:rsidRPr="003C1990" w14:paraId="2475FC8A" w14:textId="77777777" w:rsidTr="003E40BB">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3C5BAFD9" w14:textId="22AA1BC5" w:rsidR="000F6F4C" w:rsidRPr="003C1990" w:rsidRDefault="000F6F4C" w:rsidP="003E40BB">
            <w:pPr>
              <w:pStyle w:val="Header"/>
              <w:rPr>
                <w:rFonts w:ascii="Arial" w:hAnsi="Arial" w:cs="Arial"/>
                <w:sz w:val="16"/>
                <w:szCs w:val="16"/>
              </w:rPr>
            </w:pPr>
            <w:r w:rsidRPr="003C1990">
              <w:rPr>
                <w:rFonts w:ascii="Arial" w:hAnsi="Arial" w:cs="Arial"/>
                <w:sz w:val="16"/>
                <w:szCs w:val="16"/>
              </w:rPr>
              <w:t>1341-A</w:t>
            </w:r>
          </w:p>
        </w:tc>
      </w:tr>
    </w:tbl>
    <w:p w14:paraId="350C13C7" w14:textId="77777777" w:rsidR="003C1990" w:rsidRPr="003C1990" w:rsidRDefault="003C1990" w:rsidP="003C1990">
      <w:pPr>
        <w:rPr>
          <w:sz w:val="16"/>
          <w:szCs w:val="16"/>
        </w:rPr>
        <w:sectPr w:rsidR="003C1990" w:rsidRPr="003C1990" w:rsidSect="007561B7">
          <w:headerReference w:type="default" r:id="rId12"/>
          <w:footerReference w:type="default" r:id="rId13"/>
          <w:footerReference w:type="first" r:id="rId14"/>
          <w:type w:val="continuous"/>
          <w:pgSz w:w="12240" w:h="15840" w:code="1"/>
          <w:pgMar w:top="900" w:right="720" w:bottom="990" w:left="720" w:header="720" w:footer="807" w:gutter="0"/>
          <w:paperSrc w:first="15" w:other="15"/>
          <w:cols w:space="720"/>
          <w:titlePg/>
          <w:docGrid w:linePitch="299"/>
        </w:sectPr>
      </w:pPr>
    </w:p>
    <w:p w14:paraId="03FF381A" w14:textId="30728306" w:rsidR="00F00D12" w:rsidRPr="00F85474" w:rsidRDefault="00724288" w:rsidP="00FB2A83">
      <w:pPr>
        <w:pStyle w:val="Heading1"/>
        <w:spacing w:before="120"/>
        <w:rPr>
          <w:b/>
          <w:szCs w:val="56"/>
        </w:rPr>
      </w:pPr>
      <w:r>
        <w:t xml:space="preserve">Initial </w:t>
      </w:r>
      <w:r w:rsidR="00F00D12" w:rsidRPr="002D3B28">
        <w:t>Prior Authorization</w:t>
      </w:r>
      <w:r w:rsidR="003C1990">
        <w:br/>
      </w:r>
      <w:r w:rsidR="001A39BA">
        <w:t>Daraprim</w:t>
      </w:r>
    </w:p>
    <w:p w14:paraId="78861C92" w14:textId="24877BB6" w:rsidR="00203468" w:rsidRPr="002D3B28" w:rsidRDefault="00C64534" w:rsidP="008E0F0D">
      <w:pPr>
        <w:pStyle w:val="Heading2"/>
      </w:pPr>
      <w:r w:rsidRPr="002D3B28">
        <w:t xml:space="preserve">Products Referenced by this </w:t>
      </w:r>
      <w:r w:rsidR="00501602" w:rsidRPr="002D3B28">
        <w:t>Document</w:t>
      </w:r>
    </w:p>
    <w:p w14:paraId="5455152B" w14:textId="3EE4F318" w:rsidR="008E0F0D" w:rsidRPr="002D3B28" w:rsidRDefault="00D82D85" w:rsidP="008B73E8">
      <w:pPr>
        <w:pStyle w:val="BodyText"/>
      </w:pPr>
      <w:r w:rsidRPr="002D3B28">
        <w:t xml:space="preserve">Drugs that are listed in the </w:t>
      </w:r>
      <w:r w:rsidR="000315F1" w:rsidRPr="002D3B28">
        <w:t>following table</w:t>
      </w:r>
      <w:r w:rsidRPr="002D3B28">
        <w:t xml:space="preserve"> include both brand and generic and all dosage forms and strengths unless otherwise stated. </w:t>
      </w:r>
      <w:r w:rsidR="00DC3F1D" w:rsidRPr="00BD1CC1">
        <w:t>O</w:t>
      </w:r>
      <w:r w:rsidR="00DC3F1D">
        <w:t>ver-the-counter</w:t>
      </w:r>
      <w:r w:rsidR="00DC3F1D" w:rsidRPr="00BD1CC1">
        <w:t xml:space="preserve"> </w:t>
      </w:r>
      <w:r w:rsidR="00DC3F1D">
        <w:t>(OTC)</w:t>
      </w:r>
      <w:r w:rsidRPr="002D3B28">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620" w:firstRow="1" w:lastRow="0" w:firstColumn="0" w:lastColumn="0" w:noHBand="1" w:noVBand="1"/>
      </w:tblPr>
      <w:tblGrid>
        <w:gridCol w:w="5265"/>
        <w:gridCol w:w="5595"/>
      </w:tblGrid>
      <w:tr w:rsidR="00252CE1" w:rsidRPr="002D3B28" w14:paraId="158421F8" w14:textId="77777777" w:rsidTr="003F3E64">
        <w:trPr>
          <w:cantSplit/>
          <w:trHeight w:val="288"/>
          <w:tblHeader/>
        </w:trPr>
        <w:tc>
          <w:tcPr>
            <w:tcW w:w="5265" w:type="dxa"/>
            <w:vAlign w:val="center"/>
          </w:tcPr>
          <w:p w14:paraId="2A27354A" w14:textId="1390179E" w:rsidR="00252CE1" w:rsidRPr="002D3B28" w:rsidRDefault="00252CE1" w:rsidP="00AA1E6A">
            <w:pPr>
              <w:pStyle w:val="TableHeader"/>
            </w:pPr>
            <w:bookmarkStart w:id="0" w:name="_Hlk159603270"/>
            <w:r w:rsidRPr="002D3B28">
              <w:t>Brand Name</w:t>
            </w:r>
          </w:p>
        </w:tc>
        <w:tc>
          <w:tcPr>
            <w:tcW w:w="5595" w:type="dxa"/>
            <w:vAlign w:val="center"/>
          </w:tcPr>
          <w:p w14:paraId="3D342BE1" w14:textId="75F11EF1" w:rsidR="00252CE1" w:rsidRPr="002D3B28" w:rsidRDefault="00252CE1" w:rsidP="00AA1E6A">
            <w:pPr>
              <w:pStyle w:val="TableHeader"/>
            </w:pPr>
            <w:r w:rsidRPr="002D3B28">
              <w:t>Generic Name</w:t>
            </w:r>
          </w:p>
        </w:tc>
      </w:tr>
      <w:tr w:rsidR="00D21D0C" w:rsidRPr="002D3B28" w14:paraId="420A61B5" w14:textId="77777777" w:rsidTr="003F3E64">
        <w:trPr>
          <w:cantSplit/>
          <w:tblHeader/>
        </w:trPr>
        <w:tc>
          <w:tcPr>
            <w:tcW w:w="5265" w:type="dxa"/>
          </w:tcPr>
          <w:p w14:paraId="064084F6" w14:textId="0DBA6A83" w:rsidR="00D21D0C" w:rsidRPr="002D3B28" w:rsidRDefault="00496BB5" w:rsidP="00D21D0C">
            <w:pPr>
              <w:pStyle w:val="BodyText"/>
              <w:spacing w:after="0"/>
            </w:pPr>
            <w:r w:rsidRPr="002D3B28">
              <w:t>D</w:t>
            </w:r>
            <w:r w:rsidR="00F00D12" w:rsidRPr="002D3B28">
              <w:t>araprim</w:t>
            </w:r>
          </w:p>
        </w:tc>
        <w:tc>
          <w:tcPr>
            <w:tcW w:w="5595" w:type="dxa"/>
          </w:tcPr>
          <w:p w14:paraId="5BE6D872" w14:textId="0AE4A6D0" w:rsidR="00D21D0C" w:rsidRPr="002D3B28" w:rsidRDefault="00F00D12" w:rsidP="00D21D0C">
            <w:pPr>
              <w:pStyle w:val="BodyText"/>
              <w:spacing w:after="0"/>
            </w:pPr>
            <w:r w:rsidRPr="002D3B28">
              <w:t>pyrimethamine</w:t>
            </w:r>
          </w:p>
        </w:tc>
      </w:tr>
    </w:tbl>
    <w:bookmarkEnd w:id="0"/>
    <w:p w14:paraId="14CE6108" w14:textId="66A502E9" w:rsidR="00FC1AAD" w:rsidRPr="002D3B28" w:rsidRDefault="00ED052F" w:rsidP="00ED052F">
      <w:pPr>
        <w:pStyle w:val="Heading2"/>
      </w:pPr>
      <w:r w:rsidRPr="002D3B28">
        <w:t>Indications</w:t>
      </w:r>
    </w:p>
    <w:p w14:paraId="134B5687" w14:textId="4999AEEB" w:rsidR="00ED052F" w:rsidRPr="002D3B28" w:rsidRDefault="00ED052F" w:rsidP="003C1990">
      <w:pPr>
        <w:pStyle w:val="Heading3"/>
        <w:keepNext w:val="0"/>
        <w:spacing w:before="120"/>
      </w:pPr>
      <w:r w:rsidRPr="002D3B28">
        <w:t>FDA</w:t>
      </w:r>
      <w:r w:rsidR="00551897" w:rsidRPr="002D3B28">
        <w:t xml:space="preserve">-Approved </w:t>
      </w:r>
      <w:r w:rsidRPr="002D3B28">
        <w:t>Indications</w:t>
      </w:r>
    </w:p>
    <w:p w14:paraId="62B70453" w14:textId="77777777" w:rsidR="00F00D12" w:rsidRPr="002D3B28" w:rsidRDefault="00F00D12" w:rsidP="00F00D12">
      <w:pPr>
        <w:pStyle w:val="Heading4"/>
      </w:pPr>
      <w:r w:rsidRPr="002D3B28">
        <w:t>Treatment of Toxoplasmosis</w:t>
      </w:r>
    </w:p>
    <w:p w14:paraId="31DBB5D0" w14:textId="077547AE" w:rsidR="009A5649" w:rsidRPr="002D3B28" w:rsidRDefault="00F00D12" w:rsidP="009A5649">
      <w:pPr>
        <w:pStyle w:val="BodyText"/>
      </w:pPr>
      <w:r w:rsidRPr="002D3B28">
        <w:t>Daraprim is indicated for the treatment of toxoplasmosis when used conjointly with a sulfonamide, since synergism exists with this combination.</w:t>
      </w:r>
    </w:p>
    <w:p w14:paraId="61C1425D" w14:textId="3E8B85E2" w:rsidR="009A5649" w:rsidRPr="00F122F0" w:rsidRDefault="009A5649" w:rsidP="003C1990">
      <w:pPr>
        <w:pStyle w:val="Heading3"/>
        <w:spacing w:before="120"/>
      </w:pPr>
      <w:r w:rsidRPr="00F122F0">
        <w:t>Compendial Uses</w:t>
      </w:r>
    </w:p>
    <w:p w14:paraId="38F2FF02" w14:textId="77777777" w:rsidR="00A00E5B" w:rsidRPr="002D3B28" w:rsidRDefault="00A00E5B" w:rsidP="000072E9">
      <w:pPr>
        <w:pStyle w:val="BodyText"/>
        <w:numPr>
          <w:ilvl w:val="0"/>
          <w:numId w:val="48"/>
        </w:numPr>
        <w:spacing w:after="60"/>
      </w:pPr>
      <w:r w:rsidRPr="002D3B28">
        <w:t>Toxoplasmosis; Prophylaxis</w:t>
      </w:r>
      <w:r w:rsidRPr="002D3B28">
        <w:rPr>
          <w:vertAlign w:val="superscript"/>
        </w:rPr>
        <w:t>2,3,4,5</w:t>
      </w:r>
    </w:p>
    <w:p w14:paraId="5D2DB316" w14:textId="77777777" w:rsidR="00A00E5B" w:rsidRPr="002D3B28" w:rsidRDefault="00A00E5B" w:rsidP="000072E9">
      <w:pPr>
        <w:pStyle w:val="BodyText"/>
        <w:numPr>
          <w:ilvl w:val="0"/>
          <w:numId w:val="48"/>
        </w:numPr>
        <w:spacing w:after="60"/>
      </w:pPr>
      <w:r w:rsidRPr="002D3B28">
        <w:t xml:space="preserve">Pneumocystis </w:t>
      </w:r>
      <w:proofErr w:type="spellStart"/>
      <w:r w:rsidRPr="002D3B28">
        <w:t>jirovecii</w:t>
      </w:r>
      <w:proofErr w:type="spellEnd"/>
      <w:r w:rsidRPr="002D3B28">
        <w:t xml:space="preserve"> pneumonia; Prophylaxis</w:t>
      </w:r>
      <w:r w:rsidRPr="002D3B28">
        <w:rPr>
          <w:vertAlign w:val="superscript"/>
        </w:rPr>
        <w:t>2,3,4</w:t>
      </w:r>
    </w:p>
    <w:p w14:paraId="3D3C3825" w14:textId="77777777" w:rsidR="00A00E5B" w:rsidRPr="002D3B28" w:rsidRDefault="00A00E5B" w:rsidP="000072E9">
      <w:pPr>
        <w:pStyle w:val="BodyText"/>
        <w:numPr>
          <w:ilvl w:val="0"/>
          <w:numId w:val="48"/>
        </w:numPr>
        <w:spacing w:after="60"/>
      </w:pPr>
      <w:proofErr w:type="spellStart"/>
      <w:r w:rsidRPr="002D3B28">
        <w:t>Cystoisosporiasis</w:t>
      </w:r>
      <w:proofErr w:type="spellEnd"/>
      <w:r w:rsidRPr="002D3B28">
        <w:t xml:space="preserve">; </w:t>
      </w:r>
      <w:bookmarkStart w:id="1" w:name="_Hlk60054539"/>
      <w:r w:rsidRPr="002D3B28">
        <w:t xml:space="preserve">Treatment and secondary prophylaxis </w:t>
      </w:r>
      <w:bookmarkEnd w:id="1"/>
      <w:r w:rsidRPr="002D3B28">
        <w:rPr>
          <w:vertAlign w:val="superscript"/>
        </w:rPr>
        <w:t>2,4,5</w:t>
      </w:r>
    </w:p>
    <w:p w14:paraId="50A38FBA" w14:textId="704EA2A1" w:rsidR="00FE0C63" w:rsidRPr="00F85474" w:rsidRDefault="00685107" w:rsidP="003C1990">
      <w:pPr>
        <w:pStyle w:val="Heading2"/>
        <w:keepNext w:val="0"/>
        <w:tabs>
          <w:tab w:val="left" w:pos="10035"/>
        </w:tabs>
        <w:spacing w:before="360"/>
      </w:pPr>
      <w:r w:rsidRPr="002D3B28">
        <w:t>Coverage Criteria</w:t>
      </w:r>
    </w:p>
    <w:p w14:paraId="3A8B8E4C" w14:textId="77777777" w:rsidR="00A00E5B" w:rsidRPr="002D3B28" w:rsidRDefault="00F00D12" w:rsidP="00FB2A83">
      <w:pPr>
        <w:pStyle w:val="Heading3"/>
        <w:keepNext w:val="0"/>
        <w:keepLines w:val="0"/>
        <w:widowControl w:val="0"/>
        <w:spacing w:before="120" w:after="0"/>
      </w:pPr>
      <w:r w:rsidRPr="002D3B28">
        <w:t>Congenital Toxoplasmosis</w:t>
      </w:r>
    </w:p>
    <w:p w14:paraId="1D2AE12D" w14:textId="16DED94C" w:rsidR="00165258" w:rsidRPr="002D3B28" w:rsidRDefault="00F00D12" w:rsidP="003C1990">
      <w:pPr>
        <w:pStyle w:val="BodyText"/>
        <w:widowControl w:val="0"/>
        <w:rPr>
          <w:bCs/>
        </w:rPr>
      </w:pPr>
      <w:r w:rsidRPr="002D3B28">
        <w:t>Authorization may be granted when the requested drug is being prescribed for the treatment of congenital toxoplasmosis in a pediatric patient.</w:t>
      </w:r>
    </w:p>
    <w:p w14:paraId="6825BCA3" w14:textId="77777777" w:rsidR="00A00E5B" w:rsidRPr="002D3B28" w:rsidRDefault="00F00D12" w:rsidP="00A00E5B">
      <w:pPr>
        <w:pStyle w:val="Heading3"/>
        <w:keepNext w:val="0"/>
      </w:pPr>
      <w:proofErr w:type="spellStart"/>
      <w:r w:rsidRPr="002D3B28">
        <w:lastRenderedPageBreak/>
        <w:t>Cystoisosporiasis</w:t>
      </w:r>
      <w:proofErr w:type="spellEnd"/>
    </w:p>
    <w:p w14:paraId="015DD8CE" w14:textId="72A7813A" w:rsidR="00F00D12" w:rsidRPr="002D3B28" w:rsidRDefault="00F00D12" w:rsidP="006F540C">
      <w:pPr>
        <w:pStyle w:val="BodyText"/>
        <w:rPr>
          <w:bCs/>
        </w:rPr>
      </w:pPr>
      <w:r w:rsidRPr="002D3B28">
        <w:t xml:space="preserve">Authorization may be granted when the requested drug is being prescribed for the treatment of </w:t>
      </w:r>
      <w:proofErr w:type="spellStart"/>
      <w:r w:rsidRPr="002D3B28">
        <w:t>cystoisosporiasis</w:t>
      </w:r>
      <w:proofErr w:type="spellEnd"/>
      <w:r w:rsidRPr="002D3B28">
        <w:t xml:space="preserve"> when the following criteria is met:</w:t>
      </w:r>
    </w:p>
    <w:p w14:paraId="00C639FA" w14:textId="502B9EDA" w:rsidR="00F00D12" w:rsidRPr="002D3B28" w:rsidRDefault="00F00D12" w:rsidP="006F540C">
      <w:pPr>
        <w:pStyle w:val="ListParagraph"/>
        <w:numPr>
          <w:ilvl w:val="0"/>
          <w:numId w:val="41"/>
        </w:numPr>
        <w:ind w:right="0"/>
        <w:rPr>
          <w:bCs/>
        </w:rPr>
      </w:pPr>
      <w:r w:rsidRPr="002D3B28">
        <w:t>The patient has experienced an intolerance or has a contraindication to sulfamethoxazole/trimethoprim</w:t>
      </w:r>
      <w:r w:rsidR="003F4EF9">
        <w:t>.</w:t>
      </w:r>
    </w:p>
    <w:p w14:paraId="55B8C8EF" w14:textId="34193B72" w:rsidR="00A00E5B" w:rsidRPr="002D3B28" w:rsidRDefault="00F00D12" w:rsidP="00F00D12">
      <w:pPr>
        <w:pStyle w:val="Heading3"/>
        <w:rPr>
          <w:b/>
        </w:rPr>
      </w:pPr>
      <w:r w:rsidRPr="002D3B28">
        <w:t xml:space="preserve">Pneumocystis </w:t>
      </w:r>
      <w:proofErr w:type="spellStart"/>
      <w:r w:rsidRPr="002D3B28">
        <w:t>Jirovecii</w:t>
      </w:r>
      <w:proofErr w:type="spellEnd"/>
      <w:r w:rsidRPr="002D3B28">
        <w:t xml:space="preserve"> Pneumonia Prophylaxis, Primary Prophylaxis of Toxoplasmosis</w:t>
      </w:r>
    </w:p>
    <w:p w14:paraId="283A3ED4" w14:textId="5771438E" w:rsidR="00F00D12" w:rsidRPr="002D3B28" w:rsidRDefault="00F00D12" w:rsidP="006F540C">
      <w:pPr>
        <w:pStyle w:val="BodyText"/>
        <w:rPr>
          <w:bCs/>
        </w:rPr>
      </w:pPr>
      <w:r w:rsidRPr="002D3B28">
        <w:t xml:space="preserve">Authorization may be granted when the requested drug is being prescribed for Pneumocystis </w:t>
      </w:r>
      <w:proofErr w:type="spellStart"/>
      <w:r w:rsidRPr="002D3B28">
        <w:t>Jirovecii</w:t>
      </w:r>
      <w:proofErr w:type="spellEnd"/>
      <w:r w:rsidRPr="002D3B28">
        <w:t xml:space="preserve"> pneumonia prophylaxis or primary prophylaxis of toxoplasmosis when ALL </w:t>
      </w:r>
      <w:r w:rsidR="00B116F2">
        <w:t xml:space="preserve">of </w:t>
      </w:r>
      <w:r w:rsidRPr="002D3B28">
        <w:t>the following criteria are met:</w:t>
      </w:r>
    </w:p>
    <w:p w14:paraId="3C130F0B" w14:textId="2CC11C92" w:rsidR="00F00D12" w:rsidRPr="002D3B28" w:rsidRDefault="00F00D12" w:rsidP="006F540C">
      <w:pPr>
        <w:pStyle w:val="ListParagraph"/>
        <w:numPr>
          <w:ilvl w:val="0"/>
          <w:numId w:val="41"/>
        </w:numPr>
      </w:pPr>
      <w:r w:rsidRPr="002D3B28">
        <w:t>The patient has experienced an intolerance or has a contraindication to sulfamethoxazole/trimethoprim</w:t>
      </w:r>
      <w:r w:rsidR="00063901">
        <w:t>.</w:t>
      </w:r>
    </w:p>
    <w:p w14:paraId="6E91B72C" w14:textId="75BAA26F" w:rsidR="00F00D12" w:rsidRPr="002D3B28" w:rsidRDefault="00F00D12" w:rsidP="006F540C">
      <w:pPr>
        <w:pStyle w:val="ListParagraph"/>
        <w:numPr>
          <w:ilvl w:val="0"/>
          <w:numId w:val="41"/>
        </w:numPr>
        <w:rPr>
          <w:bCs/>
        </w:rPr>
      </w:pPr>
      <w:r w:rsidRPr="002D3B28">
        <w:t>The patient has had a CD4 cell count less than 200 cells/mm3 within the past 3 months</w:t>
      </w:r>
      <w:r w:rsidR="003148AE">
        <w:t>.</w:t>
      </w:r>
    </w:p>
    <w:p w14:paraId="22589DDC" w14:textId="77777777" w:rsidR="00A00E5B" w:rsidRPr="002D3B28" w:rsidRDefault="00F00D12" w:rsidP="00F00D12">
      <w:pPr>
        <w:pStyle w:val="Heading3"/>
      </w:pPr>
      <w:r w:rsidRPr="002D3B28">
        <w:t xml:space="preserve">Secondary Prophylaxis of </w:t>
      </w:r>
      <w:proofErr w:type="spellStart"/>
      <w:r w:rsidRPr="002D3B28">
        <w:t>Cystoisosporiasis</w:t>
      </w:r>
      <w:proofErr w:type="spellEnd"/>
    </w:p>
    <w:p w14:paraId="6BC9D564" w14:textId="43E6BA78" w:rsidR="00F00D12" w:rsidRPr="002D3B28" w:rsidRDefault="00F00D12" w:rsidP="006F540C">
      <w:pPr>
        <w:pStyle w:val="BodyText"/>
        <w:rPr>
          <w:bCs/>
        </w:rPr>
      </w:pPr>
      <w:r w:rsidRPr="002D3B28">
        <w:t xml:space="preserve">Authorization may be granted when the requested drug is being prescribed for secondary prophylaxis of </w:t>
      </w:r>
      <w:proofErr w:type="spellStart"/>
      <w:r w:rsidRPr="002D3B28">
        <w:t>cystoisosporiasis</w:t>
      </w:r>
      <w:proofErr w:type="spellEnd"/>
      <w:r w:rsidRPr="002D3B28">
        <w:t xml:space="preserve"> when ALL </w:t>
      </w:r>
      <w:r w:rsidR="00B116F2">
        <w:t xml:space="preserve">of </w:t>
      </w:r>
      <w:r w:rsidRPr="002D3B28">
        <w:t>the following criteria are met:</w:t>
      </w:r>
    </w:p>
    <w:p w14:paraId="390C4BD9" w14:textId="0BF6D60B" w:rsidR="00F00D12" w:rsidRPr="002D3B28" w:rsidRDefault="00F00D12" w:rsidP="006F540C">
      <w:pPr>
        <w:pStyle w:val="ListParagraph"/>
        <w:numPr>
          <w:ilvl w:val="0"/>
          <w:numId w:val="42"/>
        </w:numPr>
      </w:pPr>
      <w:r w:rsidRPr="002D3B28">
        <w:t>The patient has experienced an intolerance or has a contraindication to sulfamethoxazole/trimethoprim</w:t>
      </w:r>
      <w:r w:rsidR="00004755">
        <w:t>.</w:t>
      </w:r>
    </w:p>
    <w:p w14:paraId="27C69AAD" w14:textId="524CE9AA" w:rsidR="00F00D12" w:rsidRPr="002D3B28" w:rsidRDefault="00F00D12" w:rsidP="006F540C">
      <w:pPr>
        <w:pStyle w:val="ListParagraph"/>
        <w:numPr>
          <w:ilvl w:val="0"/>
          <w:numId w:val="42"/>
        </w:numPr>
        <w:rPr>
          <w:bCs/>
        </w:rPr>
      </w:pPr>
      <w:r w:rsidRPr="002D3B28">
        <w:t>The patient has had a CD4 cell count less than 200 cells/mm3 within the past 6 months</w:t>
      </w:r>
      <w:r w:rsidR="00004755">
        <w:t>.</w:t>
      </w:r>
    </w:p>
    <w:p w14:paraId="3049C7EF" w14:textId="1987D8D2" w:rsidR="00F00D12" w:rsidRPr="002D3B28" w:rsidRDefault="00F00D12" w:rsidP="00F00D12">
      <w:pPr>
        <w:pStyle w:val="Heading3"/>
      </w:pPr>
      <w:r w:rsidRPr="002D3B28">
        <w:t>Secondary Prophylaxis of Toxoplasmosis</w:t>
      </w:r>
    </w:p>
    <w:p w14:paraId="6D2E7A7A" w14:textId="77777777" w:rsidR="00F00D12" w:rsidRPr="002D3B28" w:rsidRDefault="00F00D12" w:rsidP="006F540C">
      <w:pPr>
        <w:pStyle w:val="BodyText"/>
        <w:rPr>
          <w:bCs/>
        </w:rPr>
      </w:pPr>
      <w:r w:rsidRPr="002D3B28">
        <w:t>Authorization may be granted when the requested drug is being prescribed for secondary prophylaxis of toxoplasmosis when the following criteria is met:</w:t>
      </w:r>
    </w:p>
    <w:p w14:paraId="2B1D8D0A" w14:textId="0FFFD665" w:rsidR="00F00D12" w:rsidRPr="002D3B28" w:rsidRDefault="00F00D12" w:rsidP="006F540C">
      <w:pPr>
        <w:pStyle w:val="ListParagraph"/>
        <w:numPr>
          <w:ilvl w:val="0"/>
          <w:numId w:val="43"/>
        </w:numPr>
        <w:rPr>
          <w:bCs/>
        </w:rPr>
      </w:pPr>
      <w:r w:rsidRPr="002D3B28">
        <w:t>The patient has had a CD4 cell count of less than 200 cells/mm3 within the past 6 months</w:t>
      </w:r>
      <w:r w:rsidR="00004755">
        <w:t>.</w:t>
      </w:r>
    </w:p>
    <w:p w14:paraId="3350DF6E" w14:textId="77777777" w:rsidR="00A00E5B" w:rsidRPr="002D3B28" w:rsidRDefault="00F00D12" w:rsidP="00DA5041">
      <w:pPr>
        <w:pStyle w:val="Heading3"/>
        <w:rPr>
          <w:bCs w:val="0"/>
        </w:rPr>
      </w:pPr>
      <w:r w:rsidRPr="002D3B28">
        <w:t>Toxoplasmosis</w:t>
      </w:r>
    </w:p>
    <w:p w14:paraId="35369CE9" w14:textId="77777777" w:rsidR="003C1990" w:rsidRDefault="00F00D12" w:rsidP="006F540C">
      <w:pPr>
        <w:pStyle w:val="BodyText"/>
      </w:pPr>
      <w:r w:rsidRPr="002D3B28">
        <w:t>Authorization may be granted when the requested drug is being prescribed for the treatment of toxoplasmosis.</w:t>
      </w:r>
    </w:p>
    <w:p w14:paraId="3DBCCD4C" w14:textId="3C53B559" w:rsidR="00F00D12" w:rsidRPr="000F59A3" w:rsidRDefault="00F00D12" w:rsidP="003C1990">
      <w:pPr>
        <w:pStyle w:val="Heading2"/>
      </w:pPr>
      <w:r w:rsidRPr="00F959A6">
        <w:t>Duration</w:t>
      </w:r>
      <w:r w:rsidRPr="002D3B28">
        <w:t xml:space="preserve"> of Approval (DOA)</w:t>
      </w:r>
    </w:p>
    <w:p w14:paraId="4807B5B7" w14:textId="7260E687" w:rsidR="00F00D12" w:rsidRPr="002D3B28" w:rsidRDefault="00F00D12" w:rsidP="006F540C">
      <w:pPr>
        <w:pStyle w:val="ListParagraph"/>
        <w:numPr>
          <w:ilvl w:val="0"/>
          <w:numId w:val="43"/>
        </w:numPr>
      </w:pPr>
      <w:r w:rsidRPr="002D3B28">
        <w:t>1341-A:</w:t>
      </w:r>
    </w:p>
    <w:p w14:paraId="55B64D6D" w14:textId="3C19B566" w:rsidR="00F00D12" w:rsidRPr="002D3B28" w:rsidRDefault="00F00D12" w:rsidP="006F7EF9">
      <w:pPr>
        <w:pStyle w:val="ListParagraph"/>
        <w:numPr>
          <w:ilvl w:val="1"/>
          <w:numId w:val="45"/>
        </w:numPr>
        <w:ind w:left="1080"/>
      </w:pPr>
      <w:r w:rsidRPr="002D3B28">
        <w:t>Congenital toxoplasmosis in a pediatric patient: DOA: 12 months</w:t>
      </w:r>
    </w:p>
    <w:p w14:paraId="4DC53FAA" w14:textId="77777777" w:rsidR="00F00D12" w:rsidRPr="002D3B28" w:rsidRDefault="00F00D12" w:rsidP="006F7EF9">
      <w:pPr>
        <w:pStyle w:val="ListParagraph"/>
        <w:numPr>
          <w:ilvl w:val="1"/>
          <w:numId w:val="45"/>
        </w:numPr>
        <w:ind w:left="1080"/>
      </w:pPr>
      <w:r w:rsidRPr="002D3B28">
        <w:t>Toxoplasmosis (treatment, primary prophylaxis, secondary prophylaxis): DOA: 3 months</w:t>
      </w:r>
    </w:p>
    <w:p w14:paraId="23283A45" w14:textId="77777777" w:rsidR="00F00D12" w:rsidRPr="002D3B28" w:rsidRDefault="00F00D12" w:rsidP="006F7EF9">
      <w:pPr>
        <w:pStyle w:val="ListParagraph"/>
        <w:numPr>
          <w:ilvl w:val="1"/>
          <w:numId w:val="45"/>
        </w:numPr>
        <w:ind w:left="1080"/>
      </w:pPr>
      <w:r w:rsidRPr="002D3B28">
        <w:t xml:space="preserve">Pneumocystis </w:t>
      </w:r>
      <w:proofErr w:type="spellStart"/>
      <w:r w:rsidRPr="002D3B28">
        <w:t>jirovecii</w:t>
      </w:r>
      <w:proofErr w:type="spellEnd"/>
      <w:r w:rsidRPr="002D3B28">
        <w:t xml:space="preserve"> Pneumonia (prophylaxis): DOA: 3 months</w:t>
      </w:r>
    </w:p>
    <w:p w14:paraId="0ED2DDBF" w14:textId="77777777" w:rsidR="00850997" w:rsidRPr="002D3B28" w:rsidRDefault="00F00D12" w:rsidP="006F7EF9">
      <w:pPr>
        <w:pStyle w:val="ListParagraph"/>
        <w:numPr>
          <w:ilvl w:val="1"/>
          <w:numId w:val="45"/>
        </w:numPr>
        <w:ind w:left="1080"/>
      </w:pPr>
      <w:proofErr w:type="spellStart"/>
      <w:r w:rsidRPr="002D3B28">
        <w:lastRenderedPageBreak/>
        <w:t>Cystoisosporiasis</w:t>
      </w:r>
      <w:proofErr w:type="spellEnd"/>
      <w:r w:rsidRPr="002D3B28">
        <w:t xml:space="preserve"> (treatment, secondary prophylaxis): DOA: 6 months</w:t>
      </w:r>
    </w:p>
    <w:p w14:paraId="17409917" w14:textId="18BB40F3" w:rsidR="00C96B3F" w:rsidRPr="002D3B28" w:rsidRDefault="00C96B3F" w:rsidP="003C1990">
      <w:pPr>
        <w:pStyle w:val="Heading2"/>
        <w:keepNext w:val="0"/>
        <w:widowControl w:val="0"/>
      </w:pPr>
      <w:bookmarkStart w:id="2" w:name="S2.2"/>
      <w:bookmarkStart w:id="3" w:name="section-2.2"/>
      <w:bookmarkStart w:id="4" w:name="section-2.2.1"/>
      <w:bookmarkStart w:id="5" w:name="section-2.2.2"/>
      <w:bookmarkEnd w:id="2"/>
      <w:bookmarkEnd w:id="3"/>
      <w:bookmarkEnd w:id="4"/>
      <w:bookmarkEnd w:id="5"/>
      <w:r w:rsidRPr="002D3B28">
        <w:t>References</w:t>
      </w:r>
    </w:p>
    <w:p w14:paraId="7E000489" w14:textId="77777777" w:rsidR="00E01BBE" w:rsidRPr="002D3B28" w:rsidRDefault="00E01BBE" w:rsidP="007276A9">
      <w:pPr>
        <w:pStyle w:val="ReferenceOrdered"/>
        <w:keepNext w:val="0"/>
        <w:keepLines w:val="0"/>
        <w:widowControl w:val="0"/>
        <w:ind w:left="360"/>
      </w:pPr>
      <w:r w:rsidRPr="002D3B28">
        <w:t xml:space="preserve">Daraprim [package insert]. New York, New York: </w:t>
      </w:r>
      <w:proofErr w:type="spellStart"/>
      <w:r w:rsidRPr="002D3B28">
        <w:t>Vyera</w:t>
      </w:r>
      <w:proofErr w:type="spellEnd"/>
      <w:r w:rsidRPr="002D3B28">
        <w:t xml:space="preserve"> Pharmaceuticals, LLC; August 2017.</w:t>
      </w:r>
    </w:p>
    <w:p w14:paraId="61BAF0BB" w14:textId="15C238F4" w:rsidR="00E01BBE" w:rsidRPr="002D3B28" w:rsidRDefault="00E01BBE" w:rsidP="007276A9">
      <w:pPr>
        <w:pStyle w:val="ReferenceOrdered"/>
        <w:keepNext w:val="0"/>
        <w:keepLines w:val="0"/>
        <w:widowControl w:val="0"/>
        <w:ind w:left="360"/>
      </w:pPr>
      <w:r w:rsidRPr="002D3B28">
        <w:t>Lexicomp Online, AHFS DI (Adult and Pediatric) Online. Waltham, MA: UpToDate, Inc.; 202</w:t>
      </w:r>
      <w:r w:rsidR="007931B3">
        <w:t>4</w:t>
      </w:r>
      <w:r w:rsidRPr="002D3B28">
        <w:t xml:space="preserve">. https://online.lexi.com. Accessed </w:t>
      </w:r>
      <w:r w:rsidR="007931B3">
        <w:t>November 27, 2024</w:t>
      </w:r>
      <w:r w:rsidRPr="002D3B28">
        <w:t>.</w:t>
      </w:r>
    </w:p>
    <w:p w14:paraId="5BB2249A" w14:textId="570FA0FC" w:rsidR="00E01BBE" w:rsidRPr="002D3B28" w:rsidRDefault="00E01BBE" w:rsidP="007276A9">
      <w:pPr>
        <w:pStyle w:val="ReferenceOrdered"/>
        <w:keepNext w:val="0"/>
        <w:keepLines w:val="0"/>
        <w:widowControl w:val="0"/>
        <w:ind w:left="360"/>
      </w:pPr>
      <w:r w:rsidRPr="002D3B28">
        <w:t xml:space="preserve">Micromedex (electronic version). </w:t>
      </w:r>
      <w:proofErr w:type="spellStart"/>
      <w:r w:rsidRPr="002D3B28">
        <w:t>Merative</w:t>
      </w:r>
      <w:proofErr w:type="spellEnd"/>
      <w:r w:rsidRPr="002D3B28">
        <w:t xml:space="preserve">, Ann Arbor, Michigan, USA. Available at: https://www.micromedexsolutions.com/ (cited: </w:t>
      </w:r>
      <w:r w:rsidR="007931B3">
        <w:t>11/27/2024</w:t>
      </w:r>
      <w:r w:rsidRPr="002D3B28">
        <w:t>).</w:t>
      </w:r>
    </w:p>
    <w:p w14:paraId="5C330CA6" w14:textId="0D79842E" w:rsidR="00E01BBE" w:rsidRPr="002D3B28" w:rsidRDefault="00E01BBE" w:rsidP="007276A9">
      <w:pPr>
        <w:pStyle w:val="ReferenceOrdered"/>
        <w:keepNext w:val="0"/>
        <w:keepLines w:val="0"/>
        <w:widowControl w:val="0"/>
        <w:ind w:left="360"/>
      </w:pPr>
      <w:bookmarkStart w:id="6" w:name="OLE_LINK6"/>
      <w:r w:rsidRPr="002D3B28">
        <w:t xml:space="preserve">Panel on Guidelines for the Prevention and Treatment of Opportunistic Infections in Adults and Adolescents with HIV. Guidelines for the Prevention and Treatment of Opportunistic Infections in Adults and Adolescents with HIV. National Institutes of Health, Centers for Disease Control and Prevention, HIV Medicine Association, and Infectious Diseases Society of America. Available at </w:t>
      </w:r>
      <w:bookmarkEnd w:id="6"/>
      <w:r w:rsidR="00C86B96" w:rsidRPr="000072E9">
        <w:t xml:space="preserve">https://clinicalinfo.hiv.gov/en/guidelines/adult-and-adolescent-opportunistic-infection. Accessed </w:t>
      </w:r>
      <w:r w:rsidR="00F162AC">
        <w:t>November 29,</w:t>
      </w:r>
      <w:r w:rsidR="00C86B96">
        <w:t xml:space="preserve"> </w:t>
      </w:r>
      <w:r w:rsidRPr="002D3B28">
        <w:t>202</w:t>
      </w:r>
      <w:r w:rsidR="00F162AC">
        <w:t>4</w:t>
      </w:r>
      <w:r w:rsidRPr="002D3B28">
        <w:t>.</w:t>
      </w:r>
    </w:p>
    <w:p w14:paraId="2D791AF1" w14:textId="09D081B3" w:rsidR="00E01BBE" w:rsidRPr="0070673C" w:rsidRDefault="00E01BBE" w:rsidP="007276A9">
      <w:pPr>
        <w:pStyle w:val="ReferenceOrdered"/>
        <w:keepNext w:val="0"/>
        <w:keepLines w:val="0"/>
        <w:widowControl w:val="0"/>
        <w:ind w:left="360"/>
      </w:pPr>
      <w:bookmarkStart w:id="7" w:name="OLE_LINK9"/>
      <w:r w:rsidRPr="002D3B28">
        <w:t>Panel on Opportunistic Infections in HIV-Exposed and HIV-Infected Children. Guidelines for the Prevention and Treatment of Opportunistic Infections in HIV-Exposed and HIV-Infected Children. Department of Health and Human Services. Available at https://</w:t>
      </w:r>
      <w:bookmarkStart w:id="8" w:name="OLE_LINK12"/>
      <w:r w:rsidRPr="002D3B28">
        <w:t>clinicalinfo.hiv.gov/en/guidelines/pediatric-opportunistic-infection</w:t>
      </w:r>
      <w:bookmarkEnd w:id="8"/>
      <w:r w:rsidRPr="002D3B28">
        <w:t xml:space="preserve">. </w:t>
      </w:r>
      <w:bookmarkEnd w:id="7"/>
      <w:r w:rsidRPr="002D3B28">
        <w:t xml:space="preserve"> Accessed </w:t>
      </w:r>
      <w:r w:rsidR="00C35C16">
        <w:t>November 29, 2024.</w:t>
      </w:r>
    </w:p>
    <w:p w14:paraId="47E1A10C" w14:textId="3B6025DE" w:rsidR="00C44990" w:rsidRDefault="00E01BBE" w:rsidP="007276A9">
      <w:pPr>
        <w:pStyle w:val="ReferenceOrdered"/>
        <w:keepNext w:val="0"/>
        <w:keepLines w:val="0"/>
        <w:widowControl w:val="0"/>
        <w:ind w:left="360"/>
      </w:pPr>
      <w:r w:rsidRPr="002D3B28">
        <w:t xml:space="preserve">Panel on Antiretroviral Guidelines for Adults and Adolescents. Guidelines for the Use of Antiretroviral Agents in Adults and Adolescents with HIV. Department of Health and Human Services. Available at https://clinicalinfo.hiv.gov/en/guidelines/adult-and-adolescent-arv. Accessed </w:t>
      </w:r>
      <w:r w:rsidR="00C35C16">
        <w:t>November 29, 2024</w:t>
      </w:r>
      <w:r w:rsidR="00B04801" w:rsidRPr="002D3B28">
        <w:t>.</w:t>
      </w:r>
    </w:p>
    <w:sectPr w:rsidR="00C44990" w:rsidSect="00F85474">
      <w:headerReference w:type="first" r:id="rId15"/>
      <w:footerReference w:type="first" r:id="rId16"/>
      <w:type w:val="continuous"/>
      <w:pgSz w:w="12240" w:h="15840" w:code="1"/>
      <w:pgMar w:top="900" w:right="720" w:bottom="990" w:left="720" w:header="720" w:footer="14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7A60E" w14:textId="77777777" w:rsidR="00D53A09" w:rsidRDefault="00D53A09">
      <w:r>
        <w:separator/>
      </w:r>
    </w:p>
  </w:endnote>
  <w:endnote w:type="continuationSeparator" w:id="0">
    <w:p w14:paraId="136778BF" w14:textId="77777777" w:rsidR="00D53A09" w:rsidRDefault="00D53A09">
      <w:r>
        <w:continuationSeparator/>
      </w:r>
    </w:p>
  </w:endnote>
  <w:endnote w:type="continuationNotice" w:id="1">
    <w:p w14:paraId="45D57391" w14:textId="77777777" w:rsidR="00D53A09" w:rsidRDefault="00D53A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43A89" w14:textId="10C243E0" w:rsidR="003C1990" w:rsidRPr="00EC47B6" w:rsidRDefault="003C1990" w:rsidP="003C1990">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96B5A" w:rsidRPr="00B96B5A">
      <w:rPr>
        <w:rFonts w:cs="Arial"/>
        <w:noProof/>
        <w:sz w:val="16"/>
        <w:szCs w:val="16"/>
      </w:rPr>
      <w:t>Daraprim</w:t>
    </w:r>
    <w:r w:rsidR="00B96B5A">
      <w:rPr>
        <w:rFonts w:cs="Arial"/>
        <w:noProof/>
        <w:snapToGrid w:val="0"/>
        <w:color w:val="000000"/>
        <w:sz w:val="16"/>
        <w:szCs w:val="16"/>
      </w:rPr>
      <w:t xml:space="preserve"> PA 1341-A</w:t>
    </w:r>
    <w:r w:rsidR="00B96B5A" w:rsidRPr="00B96B5A">
      <w:rPr>
        <w:rFonts w:cs="Arial"/>
        <w:noProof/>
        <w:sz w:val="16"/>
        <w:szCs w:val="16"/>
      </w:rPr>
      <w:t xml:space="preserve"> P01-2025.docx</w:t>
    </w:r>
    <w:r w:rsidRPr="00EC47B6">
      <w:rPr>
        <w:rFonts w:cs="Arial"/>
        <w:noProof/>
        <w:sz w:val="16"/>
        <w:szCs w:val="16"/>
      </w:rPr>
      <w:fldChar w:fldCharType="end"/>
    </w:r>
    <w:r w:rsidRPr="00EC47B6">
      <w:rPr>
        <w:rFonts w:cs="Arial"/>
        <w:snapToGrid w:val="0"/>
        <w:color w:val="000000"/>
        <w:sz w:val="16"/>
      </w:rPr>
      <w:tab/>
      <w:t>© 202</w:t>
    </w:r>
    <w:r w:rsidR="007931B3">
      <w:rPr>
        <w:rFonts w:cs="Arial"/>
        <w:snapToGrid w:val="0"/>
        <w:color w:val="000000"/>
        <w:sz w:val="16"/>
      </w:rPr>
      <w:t>5</w:t>
    </w:r>
    <w:r w:rsidRPr="00EC47B6">
      <w:rPr>
        <w:rFonts w:cs="Arial"/>
        <w:snapToGrid w:val="0"/>
        <w:color w:val="000000"/>
        <w:sz w:val="16"/>
      </w:rPr>
      <w:t xml:space="preserve"> CVS Caremark. All rights reserved.</w:t>
    </w:r>
  </w:p>
  <w:p w14:paraId="21A68585" w14:textId="737CF13A" w:rsidR="003C1990" w:rsidRPr="00EC47B6" w:rsidRDefault="003C1990" w:rsidP="003C1990">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60619F7" w14:textId="2AE4DDA0" w:rsidR="003C1990" w:rsidRPr="00F50D98" w:rsidRDefault="003C1990" w:rsidP="007276A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5C33D" w14:textId="2A45A91C" w:rsidR="003C1990" w:rsidRPr="00EC47B6" w:rsidRDefault="003C1990" w:rsidP="003C1990">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B21F9" w:rsidRPr="004B21F9">
      <w:rPr>
        <w:rFonts w:cs="Arial"/>
        <w:noProof/>
        <w:sz w:val="16"/>
        <w:szCs w:val="16"/>
      </w:rPr>
      <w:t>Daraprim</w:t>
    </w:r>
    <w:r w:rsidR="004B21F9">
      <w:rPr>
        <w:rFonts w:cs="Arial"/>
        <w:noProof/>
        <w:snapToGrid w:val="0"/>
        <w:color w:val="000000"/>
        <w:sz w:val="16"/>
        <w:szCs w:val="16"/>
      </w:rPr>
      <w:t xml:space="preserve"> PA 1341-A</w:t>
    </w:r>
    <w:r w:rsidR="004B21F9" w:rsidRPr="004B21F9">
      <w:rPr>
        <w:rFonts w:cs="Arial"/>
        <w:noProof/>
        <w:sz w:val="16"/>
        <w:szCs w:val="16"/>
      </w:rPr>
      <w:t xml:space="preserve"> P01-2025.docx</w:t>
    </w:r>
    <w:r w:rsidRPr="00EC47B6">
      <w:rPr>
        <w:rFonts w:cs="Arial"/>
        <w:noProof/>
        <w:sz w:val="16"/>
        <w:szCs w:val="16"/>
      </w:rPr>
      <w:fldChar w:fldCharType="end"/>
    </w:r>
    <w:r w:rsidRPr="00EC47B6">
      <w:rPr>
        <w:rFonts w:cs="Arial"/>
        <w:snapToGrid w:val="0"/>
        <w:color w:val="000000"/>
        <w:sz w:val="16"/>
      </w:rPr>
      <w:tab/>
      <w:t>© 202</w:t>
    </w:r>
    <w:r w:rsidR="007931B3">
      <w:rPr>
        <w:rFonts w:cs="Arial"/>
        <w:snapToGrid w:val="0"/>
        <w:color w:val="000000"/>
        <w:sz w:val="16"/>
      </w:rPr>
      <w:t>5</w:t>
    </w:r>
    <w:r w:rsidRPr="00EC47B6">
      <w:rPr>
        <w:rFonts w:cs="Arial"/>
        <w:snapToGrid w:val="0"/>
        <w:color w:val="000000"/>
        <w:sz w:val="16"/>
      </w:rPr>
      <w:t xml:space="preserve"> CVS Caremark. All rights reserved.</w:t>
    </w:r>
  </w:p>
  <w:p w14:paraId="549FA51E" w14:textId="41684618" w:rsidR="003C1990" w:rsidRPr="00EC47B6" w:rsidRDefault="003C1990" w:rsidP="003C1990">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0D179BD" w14:textId="16DA711B" w:rsidR="003C1990" w:rsidRPr="00F50D98" w:rsidRDefault="003C1990" w:rsidP="007276A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630F2" w14:textId="42F01365" w:rsidR="003C1990" w:rsidRPr="003C1990" w:rsidRDefault="003C1990" w:rsidP="003C19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7E74B" w14:textId="77777777" w:rsidR="00D53A09" w:rsidRDefault="00D53A09">
      <w:r>
        <w:separator/>
      </w:r>
    </w:p>
  </w:footnote>
  <w:footnote w:type="continuationSeparator" w:id="0">
    <w:p w14:paraId="476A901B" w14:textId="77777777" w:rsidR="00D53A09" w:rsidRDefault="00D53A09">
      <w:r>
        <w:continuationSeparator/>
      </w:r>
    </w:p>
  </w:footnote>
  <w:footnote w:type="continuationNotice" w:id="1">
    <w:p w14:paraId="22EE3FB6" w14:textId="77777777" w:rsidR="00D53A09" w:rsidRDefault="00D53A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3C1990" w:rsidRPr="00BD1CC1" w14:paraId="433FD6AE" w14:textId="77777777" w:rsidTr="008659EE">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B9376C2" w14:textId="77777777" w:rsidR="003C1990" w:rsidRPr="00BD1CC1" w:rsidRDefault="003C1990" w:rsidP="003C1990">
          <w:pPr>
            <w:pStyle w:val="Header"/>
            <w:rPr>
              <w:rFonts w:ascii="Arial" w:hAnsi="Arial" w:cs="Arial"/>
              <w:sz w:val="16"/>
              <w:szCs w:val="16"/>
            </w:rPr>
          </w:pPr>
          <w:r w:rsidRPr="00BD1CC1">
            <w:rPr>
              <w:rFonts w:ascii="Arial" w:hAnsi="Arial" w:cs="Arial"/>
              <w:sz w:val="16"/>
              <w:szCs w:val="16"/>
            </w:rPr>
            <w:t>Reference number(s)</w:t>
          </w:r>
        </w:p>
      </w:tc>
    </w:tr>
    <w:tr w:rsidR="003C1990" w:rsidRPr="003C1990" w14:paraId="5619736E" w14:textId="77777777" w:rsidTr="008659EE">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031BA1C3" w14:textId="77777777" w:rsidR="003C1990" w:rsidRPr="003C1990" w:rsidRDefault="003C1990" w:rsidP="003C1990">
          <w:pPr>
            <w:pStyle w:val="Header"/>
            <w:rPr>
              <w:rFonts w:ascii="Arial" w:hAnsi="Arial" w:cs="Arial"/>
              <w:sz w:val="16"/>
              <w:szCs w:val="16"/>
            </w:rPr>
          </w:pPr>
          <w:r w:rsidRPr="003C1990">
            <w:rPr>
              <w:rFonts w:ascii="Arial" w:hAnsi="Arial" w:cs="Arial"/>
              <w:sz w:val="16"/>
              <w:szCs w:val="16"/>
            </w:rPr>
            <w:t>1341-A</w:t>
          </w:r>
        </w:p>
      </w:tc>
    </w:tr>
  </w:tbl>
  <w:p w14:paraId="2E46C058" w14:textId="49BC16F8" w:rsidR="003C1990" w:rsidRPr="003C1990" w:rsidRDefault="003C1990">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B2A83" w:rsidRPr="00BD1CC1" w14:paraId="4278A740" w14:textId="77777777" w:rsidTr="00673876">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17C1F4" w14:textId="77777777" w:rsidR="00FB2A83" w:rsidRPr="00BD1CC1" w:rsidRDefault="00FB2A83" w:rsidP="00FB2A83">
          <w:pPr>
            <w:pStyle w:val="Header"/>
            <w:rPr>
              <w:rFonts w:ascii="Arial" w:hAnsi="Arial" w:cs="Arial"/>
              <w:sz w:val="16"/>
              <w:szCs w:val="16"/>
            </w:rPr>
          </w:pPr>
          <w:r w:rsidRPr="00BD1CC1">
            <w:rPr>
              <w:rFonts w:ascii="Arial" w:hAnsi="Arial" w:cs="Arial"/>
              <w:sz w:val="16"/>
              <w:szCs w:val="16"/>
            </w:rPr>
            <w:t>Reference number(s)</w:t>
          </w:r>
        </w:p>
      </w:tc>
    </w:tr>
    <w:tr w:rsidR="00FB2A83" w:rsidRPr="003C1990" w14:paraId="22E3FCF6" w14:textId="77777777" w:rsidTr="00673876">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29B51499" w14:textId="77777777" w:rsidR="00FB2A83" w:rsidRPr="003C1990" w:rsidRDefault="00FB2A83" w:rsidP="00FB2A83">
          <w:pPr>
            <w:pStyle w:val="Header"/>
            <w:rPr>
              <w:rFonts w:ascii="Arial" w:hAnsi="Arial" w:cs="Arial"/>
              <w:sz w:val="16"/>
              <w:szCs w:val="16"/>
            </w:rPr>
          </w:pPr>
          <w:r w:rsidRPr="003C1990">
            <w:rPr>
              <w:rFonts w:ascii="Arial" w:hAnsi="Arial" w:cs="Arial"/>
              <w:sz w:val="16"/>
              <w:szCs w:val="16"/>
            </w:rPr>
            <w:t>1341-A</w:t>
          </w:r>
        </w:p>
      </w:tc>
    </w:tr>
  </w:tbl>
  <w:p w14:paraId="14A0CE51" w14:textId="5321A967" w:rsidR="00FB2A83" w:rsidRPr="00FB2A83" w:rsidRDefault="00FB2A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25613"/>
    <w:multiLevelType w:val="singleLevel"/>
    <w:tmpl w:val="A3A22EFC"/>
    <w:lvl w:ilvl="0">
      <w:start w:val="1"/>
      <w:numFmt w:val="decimal"/>
      <w:lvlText w:val="%1. "/>
      <w:legacy w:legacy="1" w:legacySpace="0" w:legacyIndent="360"/>
      <w:lvlJc w:val="left"/>
      <w:pPr>
        <w:ind w:left="360" w:hanging="360"/>
      </w:pPr>
      <w:rPr>
        <w:rFonts w:ascii="Arial" w:hAnsi="Arial" w:hint="default"/>
        <w:b w:val="0"/>
        <w:i w:val="0"/>
        <w:sz w:val="20"/>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73746E"/>
    <w:multiLevelType w:val="hybridMultilevel"/>
    <w:tmpl w:val="C73AB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095AA8"/>
    <w:multiLevelType w:val="hybridMultilevel"/>
    <w:tmpl w:val="55C4B812"/>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CBE75C4"/>
    <w:multiLevelType w:val="hybridMultilevel"/>
    <w:tmpl w:val="BC88364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0F0D1C15"/>
    <w:multiLevelType w:val="hybridMultilevel"/>
    <w:tmpl w:val="35266B3E"/>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6"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3C64205"/>
    <w:multiLevelType w:val="hybridMultilevel"/>
    <w:tmpl w:val="D480DF1A"/>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9"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A3D22AB"/>
    <w:multiLevelType w:val="hybridMultilevel"/>
    <w:tmpl w:val="1A0A4E8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2DCA6CA7"/>
    <w:multiLevelType w:val="hybridMultilevel"/>
    <w:tmpl w:val="60749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E04F5C"/>
    <w:multiLevelType w:val="hybridMultilevel"/>
    <w:tmpl w:val="82AC7108"/>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FB1664"/>
    <w:multiLevelType w:val="hybridMultilevel"/>
    <w:tmpl w:val="D78A5E90"/>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73E1085"/>
    <w:multiLevelType w:val="hybridMultilevel"/>
    <w:tmpl w:val="C3F8B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FA4444"/>
    <w:multiLevelType w:val="hybridMultilevel"/>
    <w:tmpl w:val="DFDCA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14673F"/>
    <w:multiLevelType w:val="hybridMultilevel"/>
    <w:tmpl w:val="5E7C211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4C2F65EB"/>
    <w:multiLevelType w:val="hybridMultilevel"/>
    <w:tmpl w:val="8F52D29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05B7F5E"/>
    <w:multiLevelType w:val="hybridMultilevel"/>
    <w:tmpl w:val="05C6F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AA0D43"/>
    <w:multiLevelType w:val="hybridMultilevel"/>
    <w:tmpl w:val="0D1424A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A9745B"/>
    <w:multiLevelType w:val="hybridMultilevel"/>
    <w:tmpl w:val="139CB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43196D"/>
    <w:multiLevelType w:val="hybridMultilevel"/>
    <w:tmpl w:val="51CA3D2E"/>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9" w15:restartNumberingAfterBreak="0">
    <w:nsid w:val="62262793"/>
    <w:multiLevelType w:val="hybridMultilevel"/>
    <w:tmpl w:val="F15CE306"/>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0" w15:restartNumberingAfterBreak="0">
    <w:nsid w:val="658326B1"/>
    <w:multiLevelType w:val="hybridMultilevel"/>
    <w:tmpl w:val="0470AB48"/>
    <w:lvl w:ilvl="0" w:tplc="6296AE68">
      <w:start w:val="1"/>
      <w:numFmt w:val="decimal"/>
      <w:pStyle w:val="ReferenceOrdered"/>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396408"/>
    <w:multiLevelType w:val="hybridMultilevel"/>
    <w:tmpl w:val="B88A0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F00ACE"/>
    <w:multiLevelType w:val="hybridMultilevel"/>
    <w:tmpl w:val="45A66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6"/>
  </w:num>
  <w:num w:numId="2" w16cid:durableId="606935877">
    <w:abstractNumId w:val="40"/>
  </w:num>
  <w:num w:numId="3" w16cid:durableId="611589570">
    <w:abstractNumId w:val="3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7"/>
  </w:num>
  <w:num w:numId="15" w16cid:durableId="616722934">
    <w:abstractNumId w:val="11"/>
  </w:num>
  <w:num w:numId="16" w16cid:durableId="898320195">
    <w:abstractNumId w:val="25"/>
  </w:num>
  <w:num w:numId="17" w16cid:durableId="2128498676">
    <w:abstractNumId w:val="43"/>
  </w:num>
  <w:num w:numId="18" w16cid:durableId="299724409">
    <w:abstractNumId w:val="34"/>
  </w:num>
  <w:num w:numId="19" w16cid:durableId="214585573">
    <w:abstractNumId w:val="19"/>
  </w:num>
  <w:num w:numId="20" w16cid:durableId="1289816170">
    <w:abstractNumId w:val="20"/>
  </w:num>
  <w:num w:numId="21" w16cid:durableId="1066490929">
    <w:abstractNumId w:val="45"/>
  </w:num>
  <w:num w:numId="22" w16cid:durableId="1472481103">
    <w:abstractNumId w:val="36"/>
  </w:num>
  <w:num w:numId="23" w16cid:durableId="1997420403">
    <w:abstractNumId w:val="41"/>
  </w:num>
  <w:num w:numId="24" w16cid:durableId="33312838">
    <w:abstractNumId w:val="35"/>
  </w:num>
  <w:num w:numId="25" w16cid:durableId="507404939">
    <w:abstractNumId w:val="23"/>
  </w:num>
  <w:num w:numId="26" w16cid:durableId="20404283">
    <w:abstractNumId w:val="12"/>
  </w:num>
  <w:num w:numId="27" w16cid:durableId="735319100">
    <w:abstractNumId w:val="42"/>
  </w:num>
  <w:num w:numId="28" w16cid:durableId="420490561">
    <w:abstractNumId w:val="37"/>
  </w:num>
  <w:num w:numId="29" w16cid:durableId="864489776">
    <w:abstractNumId w:val="44"/>
  </w:num>
  <w:num w:numId="30" w16cid:durableId="1351643739">
    <w:abstractNumId w:val="31"/>
  </w:num>
  <w:num w:numId="31" w16cid:durableId="236986017">
    <w:abstractNumId w:val="22"/>
  </w:num>
  <w:num w:numId="32" w16cid:durableId="1757749957">
    <w:abstractNumId w:val="28"/>
  </w:num>
  <w:num w:numId="33" w16cid:durableId="309405643">
    <w:abstractNumId w:val="30"/>
  </w:num>
  <w:num w:numId="34" w16cid:durableId="1856142591">
    <w:abstractNumId w:val="10"/>
    <w:lvlOverride w:ilvl="0">
      <w:startOverride w:val="1"/>
    </w:lvlOverride>
  </w:num>
  <w:num w:numId="35" w16cid:durableId="769470802">
    <w:abstractNumId w:val="33"/>
  </w:num>
  <w:num w:numId="36" w16cid:durableId="401803975">
    <w:abstractNumId w:val="18"/>
  </w:num>
  <w:num w:numId="37" w16cid:durableId="1549294056">
    <w:abstractNumId w:val="39"/>
  </w:num>
  <w:num w:numId="38" w16cid:durableId="1935816515">
    <w:abstractNumId w:val="24"/>
  </w:num>
  <w:num w:numId="39" w16cid:durableId="1812861608">
    <w:abstractNumId w:val="38"/>
  </w:num>
  <w:num w:numId="40" w16cid:durableId="1428695569">
    <w:abstractNumId w:val="15"/>
  </w:num>
  <w:num w:numId="41" w16cid:durableId="1975595551">
    <w:abstractNumId w:val="14"/>
  </w:num>
  <w:num w:numId="42" w16cid:durableId="597909264">
    <w:abstractNumId w:val="29"/>
  </w:num>
  <w:num w:numId="43" w16cid:durableId="1775204447">
    <w:abstractNumId w:val="21"/>
  </w:num>
  <w:num w:numId="44" w16cid:durableId="1028675735">
    <w:abstractNumId w:val="26"/>
  </w:num>
  <w:num w:numId="45" w16cid:durableId="358825511">
    <w:abstractNumId w:val="13"/>
  </w:num>
  <w:num w:numId="46" w16cid:durableId="1767768558">
    <w:abstractNumId w:val="40"/>
  </w:num>
  <w:num w:numId="47" w16cid:durableId="1948274460">
    <w:abstractNumId w:val="40"/>
  </w:num>
  <w:num w:numId="48" w16cid:durableId="291640358">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755"/>
    <w:rsid w:val="00004F4E"/>
    <w:rsid w:val="00005C28"/>
    <w:rsid w:val="00006174"/>
    <w:rsid w:val="00006AC2"/>
    <w:rsid w:val="00006E19"/>
    <w:rsid w:val="000072E9"/>
    <w:rsid w:val="00007844"/>
    <w:rsid w:val="00007A56"/>
    <w:rsid w:val="000106D6"/>
    <w:rsid w:val="00010A20"/>
    <w:rsid w:val="00010FE0"/>
    <w:rsid w:val="0001146B"/>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3CF8"/>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3901"/>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23F"/>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9A3"/>
    <w:rsid w:val="000F5A0F"/>
    <w:rsid w:val="000F61E0"/>
    <w:rsid w:val="000F677F"/>
    <w:rsid w:val="000F69A0"/>
    <w:rsid w:val="000F6E71"/>
    <w:rsid w:val="000F6F4C"/>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3FC"/>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04F8"/>
    <w:rsid w:val="001914C8"/>
    <w:rsid w:val="001916D1"/>
    <w:rsid w:val="00191904"/>
    <w:rsid w:val="00192769"/>
    <w:rsid w:val="001933EE"/>
    <w:rsid w:val="00193696"/>
    <w:rsid w:val="001944B7"/>
    <w:rsid w:val="0019677F"/>
    <w:rsid w:val="0019733B"/>
    <w:rsid w:val="00197771"/>
    <w:rsid w:val="001A0C8D"/>
    <w:rsid w:val="001A0E7C"/>
    <w:rsid w:val="001A2781"/>
    <w:rsid w:val="001A2987"/>
    <w:rsid w:val="001A320A"/>
    <w:rsid w:val="001A33ED"/>
    <w:rsid w:val="001A39BA"/>
    <w:rsid w:val="001A432C"/>
    <w:rsid w:val="001A4C1C"/>
    <w:rsid w:val="001A4DBB"/>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AC5"/>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B98"/>
    <w:rsid w:val="002326EC"/>
    <w:rsid w:val="00232BF5"/>
    <w:rsid w:val="002338A0"/>
    <w:rsid w:val="00233FF2"/>
    <w:rsid w:val="002341EB"/>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6AB"/>
    <w:rsid w:val="002D3B28"/>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24"/>
    <w:rsid w:val="002F2FA8"/>
    <w:rsid w:val="002F311C"/>
    <w:rsid w:val="002F335A"/>
    <w:rsid w:val="002F5F01"/>
    <w:rsid w:val="002F6300"/>
    <w:rsid w:val="0030016D"/>
    <w:rsid w:val="00301F62"/>
    <w:rsid w:val="00302DBD"/>
    <w:rsid w:val="00302DD8"/>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48AE"/>
    <w:rsid w:val="00315003"/>
    <w:rsid w:val="00315D6F"/>
    <w:rsid w:val="00316DC1"/>
    <w:rsid w:val="00320652"/>
    <w:rsid w:val="003213DE"/>
    <w:rsid w:val="00321446"/>
    <w:rsid w:val="003221B4"/>
    <w:rsid w:val="00322EB1"/>
    <w:rsid w:val="00323534"/>
    <w:rsid w:val="003242E2"/>
    <w:rsid w:val="003254F4"/>
    <w:rsid w:val="00325919"/>
    <w:rsid w:val="003262EA"/>
    <w:rsid w:val="0032667A"/>
    <w:rsid w:val="0032670A"/>
    <w:rsid w:val="00326990"/>
    <w:rsid w:val="00327428"/>
    <w:rsid w:val="00327C29"/>
    <w:rsid w:val="0033086A"/>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5A8C"/>
    <w:rsid w:val="003B5C47"/>
    <w:rsid w:val="003B6158"/>
    <w:rsid w:val="003B7DE9"/>
    <w:rsid w:val="003C1990"/>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3E64"/>
    <w:rsid w:val="003F4EF9"/>
    <w:rsid w:val="003F54A6"/>
    <w:rsid w:val="003F5824"/>
    <w:rsid w:val="003F61E0"/>
    <w:rsid w:val="003F641B"/>
    <w:rsid w:val="003F6B36"/>
    <w:rsid w:val="003F75BB"/>
    <w:rsid w:val="003F7A17"/>
    <w:rsid w:val="00400360"/>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27F9"/>
    <w:rsid w:val="004236F4"/>
    <w:rsid w:val="00423C96"/>
    <w:rsid w:val="00425453"/>
    <w:rsid w:val="004260D4"/>
    <w:rsid w:val="004260DE"/>
    <w:rsid w:val="0042761F"/>
    <w:rsid w:val="0042763C"/>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6BB5"/>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1F9"/>
    <w:rsid w:val="004B2869"/>
    <w:rsid w:val="004B384B"/>
    <w:rsid w:val="004B393A"/>
    <w:rsid w:val="004B3ECE"/>
    <w:rsid w:val="004B3F99"/>
    <w:rsid w:val="004B4E86"/>
    <w:rsid w:val="004B4FE3"/>
    <w:rsid w:val="004B504B"/>
    <w:rsid w:val="004B50BB"/>
    <w:rsid w:val="004B5614"/>
    <w:rsid w:val="004B5877"/>
    <w:rsid w:val="004B5B65"/>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29D5"/>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D46"/>
    <w:rsid w:val="00545584"/>
    <w:rsid w:val="005462B1"/>
    <w:rsid w:val="0054721E"/>
    <w:rsid w:val="00547DC8"/>
    <w:rsid w:val="00551897"/>
    <w:rsid w:val="00552A6C"/>
    <w:rsid w:val="00552AD2"/>
    <w:rsid w:val="005531A3"/>
    <w:rsid w:val="005539ED"/>
    <w:rsid w:val="00553C00"/>
    <w:rsid w:val="00554C8D"/>
    <w:rsid w:val="00555395"/>
    <w:rsid w:val="005553FE"/>
    <w:rsid w:val="005555FB"/>
    <w:rsid w:val="00556A6F"/>
    <w:rsid w:val="0055710E"/>
    <w:rsid w:val="00560433"/>
    <w:rsid w:val="00560464"/>
    <w:rsid w:val="00560623"/>
    <w:rsid w:val="0056090D"/>
    <w:rsid w:val="005615E4"/>
    <w:rsid w:val="00563842"/>
    <w:rsid w:val="00563895"/>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76287"/>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2474"/>
    <w:rsid w:val="0059286F"/>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3F48"/>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112"/>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5EFF"/>
    <w:rsid w:val="0068667E"/>
    <w:rsid w:val="00687C15"/>
    <w:rsid w:val="006909A7"/>
    <w:rsid w:val="006913AD"/>
    <w:rsid w:val="006917AF"/>
    <w:rsid w:val="006919C1"/>
    <w:rsid w:val="0069283D"/>
    <w:rsid w:val="00692A50"/>
    <w:rsid w:val="00693B34"/>
    <w:rsid w:val="00694902"/>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40C"/>
    <w:rsid w:val="006F5F82"/>
    <w:rsid w:val="006F6AD5"/>
    <w:rsid w:val="006F7127"/>
    <w:rsid w:val="006F7EF9"/>
    <w:rsid w:val="00700342"/>
    <w:rsid w:val="007006E7"/>
    <w:rsid w:val="00701964"/>
    <w:rsid w:val="00701BB0"/>
    <w:rsid w:val="00702357"/>
    <w:rsid w:val="00702DB8"/>
    <w:rsid w:val="007034B1"/>
    <w:rsid w:val="00703C67"/>
    <w:rsid w:val="007061F8"/>
    <w:rsid w:val="0070673C"/>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88"/>
    <w:rsid w:val="007242A5"/>
    <w:rsid w:val="0072615B"/>
    <w:rsid w:val="007267CF"/>
    <w:rsid w:val="007276A9"/>
    <w:rsid w:val="00727843"/>
    <w:rsid w:val="0073079A"/>
    <w:rsid w:val="00731FCA"/>
    <w:rsid w:val="007325C8"/>
    <w:rsid w:val="00732B93"/>
    <w:rsid w:val="007330EA"/>
    <w:rsid w:val="0073324D"/>
    <w:rsid w:val="0073362E"/>
    <w:rsid w:val="00735381"/>
    <w:rsid w:val="007363FE"/>
    <w:rsid w:val="00736D6F"/>
    <w:rsid w:val="0074014C"/>
    <w:rsid w:val="00741656"/>
    <w:rsid w:val="0074207B"/>
    <w:rsid w:val="00742164"/>
    <w:rsid w:val="007425D5"/>
    <w:rsid w:val="007434DC"/>
    <w:rsid w:val="00743B1F"/>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1B7"/>
    <w:rsid w:val="00760B2C"/>
    <w:rsid w:val="007622EA"/>
    <w:rsid w:val="007627F6"/>
    <w:rsid w:val="00762AE4"/>
    <w:rsid w:val="00762DDD"/>
    <w:rsid w:val="0076417D"/>
    <w:rsid w:val="00765BBE"/>
    <w:rsid w:val="007704F3"/>
    <w:rsid w:val="007710F2"/>
    <w:rsid w:val="007716E9"/>
    <w:rsid w:val="00771AAC"/>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1B3"/>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7F6B4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55B"/>
    <w:rsid w:val="00810748"/>
    <w:rsid w:val="008109CA"/>
    <w:rsid w:val="00812036"/>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0997"/>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1AB"/>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7D4"/>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33E7"/>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F9D"/>
    <w:rsid w:val="008F05DE"/>
    <w:rsid w:val="008F09AE"/>
    <w:rsid w:val="008F0AC3"/>
    <w:rsid w:val="008F1DC5"/>
    <w:rsid w:val="008F1E32"/>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222"/>
    <w:rsid w:val="00907D99"/>
    <w:rsid w:val="00910119"/>
    <w:rsid w:val="0091015A"/>
    <w:rsid w:val="00911462"/>
    <w:rsid w:val="0091183B"/>
    <w:rsid w:val="00911B53"/>
    <w:rsid w:val="00911B78"/>
    <w:rsid w:val="00912436"/>
    <w:rsid w:val="009149C8"/>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7266"/>
    <w:rsid w:val="00940AA9"/>
    <w:rsid w:val="00941264"/>
    <w:rsid w:val="0094296E"/>
    <w:rsid w:val="0094298C"/>
    <w:rsid w:val="0094553A"/>
    <w:rsid w:val="00947FC1"/>
    <w:rsid w:val="009517E1"/>
    <w:rsid w:val="00951B46"/>
    <w:rsid w:val="009533D9"/>
    <w:rsid w:val="0095377B"/>
    <w:rsid w:val="00953D64"/>
    <w:rsid w:val="00953F93"/>
    <w:rsid w:val="009542EA"/>
    <w:rsid w:val="00954511"/>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180"/>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F93"/>
    <w:rsid w:val="00986BF8"/>
    <w:rsid w:val="00986C82"/>
    <w:rsid w:val="009911F3"/>
    <w:rsid w:val="00991319"/>
    <w:rsid w:val="00992638"/>
    <w:rsid w:val="0099311D"/>
    <w:rsid w:val="00993552"/>
    <w:rsid w:val="00993CD7"/>
    <w:rsid w:val="00994865"/>
    <w:rsid w:val="00995A6D"/>
    <w:rsid w:val="00995DAD"/>
    <w:rsid w:val="00995F4D"/>
    <w:rsid w:val="00996726"/>
    <w:rsid w:val="00996EF4"/>
    <w:rsid w:val="009973BE"/>
    <w:rsid w:val="00997849"/>
    <w:rsid w:val="009A0FE4"/>
    <w:rsid w:val="009A1480"/>
    <w:rsid w:val="009A258F"/>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4A58"/>
    <w:rsid w:val="009B579E"/>
    <w:rsid w:val="009B5866"/>
    <w:rsid w:val="009B5A24"/>
    <w:rsid w:val="009B6153"/>
    <w:rsid w:val="009B67DF"/>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6C19"/>
    <w:rsid w:val="009E6C20"/>
    <w:rsid w:val="009E6E2F"/>
    <w:rsid w:val="009F0845"/>
    <w:rsid w:val="009F1EDE"/>
    <w:rsid w:val="009F2CEE"/>
    <w:rsid w:val="009F3F1F"/>
    <w:rsid w:val="009F426B"/>
    <w:rsid w:val="009F6192"/>
    <w:rsid w:val="009F672D"/>
    <w:rsid w:val="009F6E2E"/>
    <w:rsid w:val="009F7EA7"/>
    <w:rsid w:val="00A000EF"/>
    <w:rsid w:val="00A00395"/>
    <w:rsid w:val="00A00E5B"/>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33C"/>
    <w:rsid w:val="00A156C9"/>
    <w:rsid w:val="00A15AE5"/>
    <w:rsid w:val="00A16536"/>
    <w:rsid w:val="00A16E35"/>
    <w:rsid w:val="00A20159"/>
    <w:rsid w:val="00A2137A"/>
    <w:rsid w:val="00A21480"/>
    <w:rsid w:val="00A23BE3"/>
    <w:rsid w:val="00A24116"/>
    <w:rsid w:val="00A242BE"/>
    <w:rsid w:val="00A25BB6"/>
    <w:rsid w:val="00A27161"/>
    <w:rsid w:val="00A278E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11FF"/>
    <w:rsid w:val="00A51559"/>
    <w:rsid w:val="00A51681"/>
    <w:rsid w:val="00A51EB0"/>
    <w:rsid w:val="00A5241C"/>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B90"/>
    <w:rsid w:val="00A87BF7"/>
    <w:rsid w:val="00A87E9F"/>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5EB"/>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07DC"/>
    <w:rsid w:val="00AD1327"/>
    <w:rsid w:val="00AD15D0"/>
    <w:rsid w:val="00AD172C"/>
    <w:rsid w:val="00AD1F50"/>
    <w:rsid w:val="00AD5212"/>
    <w:rsid w:val="00AD5E4E"/>
    <w:rsid w:val="00AD6657"/>
    <w:rsid w:val="00AD6ADD"/>
    <w:rsid w:val="00AD703C"/>
    <w:rsid w:val="00AE1ECB"/>
    <w:rsid w:val="00AE22E9"/>
    <w:rsid w:val="00AE2C21"/>
    <w:rsid w:val="00AE3026"/>
    <w:rsid w:val="00AE31CB"/>
    <w:rsid w:val="00AE33F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16F2"/>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6E57"/>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A78"/>
    <w:rsid w:val="00B50D1C"/>
    <w:rsid w:val="00B513CC"/>
    <w:rsid w:val="00B51564"/>
    <w:rsid w:val="00B51582"/>
    <w:rsid w:val="00B5186D"/>
    <w:rsid w:val="00B52926"/>
    <w:rsid w:val="00B52F0C"/>
    <w:rsid w:val="00B52F2D"/>
    <w:rsid w:val="00B5372D"/>
    <w:rsid w:val="00B54526"/>
    <w:rsid w:val="00B54B31"/>
    <w:rsid w:val="00B55FE1"/>
    <w:rsid w:val="00B569FC"/>
    <w:rsid w:val="00B573C5"/>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73C"/>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6B5A"/>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D5D"/>
    <w:rsid w:val="00BE181E"/>
    <w:rsid w:val="00BE1A32"/>
    <w:rsid w:val="00BE23F2"/>
    <w:rsid w:val="00BE2659"/>
    <w:rsid w:val="00BE2E87"/>
    <w:rsid w:val="00BE3334"/>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AC4"/>
    <w:rsid w:val="00C06539"/>
    <w:rsid w:val="00C07AB5"/>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068"/>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5C16"/>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581"/>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B9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A7D1D"/>
    <w:rsid w:val="00CB1279"/>
    <w:rsid w:val="00CB13DF"/>
    <w:rsid w:val="00CB2D12"/>
    <w:rsid w:val="00CB2E36"/>
    <w:rsid w:val="00CB38E8"/>
    <w:rsid w:val="00CB3CAD"/>
    <w:rsid w:val="00CB4985"/>
    <w:rsid w:val="00CB49DF"/>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3C27"/>
    <w:rsid w:val="00CD4084"/>
    <w:rsid w:val="00CD411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3A09"/>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23A"/>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26EB"/>
    <w:rsid w:val="00D94985"/>
    <w:rsid w:val="00D956AE"/>
    <w:rsid w:val="00D95A0D"/>
    <w:rsid w:val="00D95E62"/>
    <w:rsid w:val="00D97119"/>
    <w:rsid w:val="00D974E4"/>
    <w:rsid w:val="00D97A46"/>
    <w:rsid w:val="00D97B49"/>
    <w:rsid w:val="00DA05D5"/>
    <w:rsid w:val="00DA0924"/>
    <w:rsid w:val="00DA29A1"/>
    <w:rsid w:val="00DA2BE1"/>
    <w:rsid w:val="00DA420D"/>
    <w:rsid w:val="00DA5041"/>
    <w:rsid w:val="00DA52B5"/>
    <w:rsid w:val="00DA5F0A"/>
    <w:rsid w:val="00DA640C"/>
    <w:rsid w:val="00DA6BAC"/>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3F1D"/>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BBE"/>
    <w:rsid w:val="00E01E80"/>
    <w:rsid w:val="00E02122"/>
    <w:rsid w:val="00E0384C"/>
    <w:rsid w:val="00E03D7D"/>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25E"/>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87E"/>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0D12"/>
    <w:rsid w:val="00F01821"/>
    <w:rsid w:val="00F01D9B"/>
    <w:rsid w:val="00F043C9"/>
    <w:rsid w:val="00F04FA6"/>
    <w:rsid w:val="00F0554B"/>
    <w:rsid w:val="00F07EE5"/>
    <w:rsid w:val="00F10609"/>
    <w:rsid w:val="00F116E5"/>
    <w:rsid w:val="00F11F96"/>
    <w:rsid w:val="00F12262"/>
    <w:rsid w:val="00F122F0"/>
    <w:rsid w:val="00F1254B"/>
    <w:rsid w:val="00F12B2C"/>
    <w:rsid w:val="00F12C00"/>
    <w:rsid w:val="00F12EB7"/>
    <w:rsid w:val="00F130F5"/>
    <w:rsid w:val="00F13436"/>
    <w:rsid w:val="00F137E0"/>
    <w:rsid w:val="00F13888"/>
    <w:rsid w:val="00F1412A"/>
    <w:rsid w:val="00F14B6C"/>
    <w:rsid w:val="00F15545"/>
    <w:rsid w:val="00F162AC"/>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427"/>
    <w:rsid w:val="00F579AF"/>
    <w:rsid w:val="00F61152"/>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474"/>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59A6"/>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A83"/>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21D"/>
    <w:rsid w:val="00FE6BAD"/>
    <w:rsid w:val="00FE78A7"/>
    <w:rsid w:val="00FE7B5F"/>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551897"/>
    <w:pPr>
      <w:outlineLvl w:val="3"/>
    </w:pPr>
    <w:rPr>
      <w:b w:val="0"/>
      <w:bCs w:val="0"/>
      <w:sz w:val="28"/>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55189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ce173f13-e3a2-4c5f-8c54-d0382ae88016"/>
    <ds:schemaRef ds:uri="102fadf2-6cae-45bc-95f6-bc2613b98572"/>
    <ds:schemaRef ds:uri="http://www.w3.org/XML/1998/namespace"/>
    <ds:schemaRef ds:uri="http://purl.org/dc/dcmitype/"/>
  </ds:schemaRefs>
</ds:datastoreItem>
</file>

<file path=customXml/itemProps4.xml><?xml version="1.0" encoding="utf-8"?>
<ds:datastoreItem xmlns:ds="http://schemas.openxmlformats.org/officeDocument/2006/customXml" ds:itemID="{643F7F71-FF68-400E-9CDD-5DA6D525D376}"/>
</file>

<file path=docProps/app.xml><?xml version="1.0" encoding="utf-8"?>
<Properties xmlns="http://schemas.openxmlformats.org/officeDocument/2006/extended-properties" xmlns:vt="http://schemas.openxmlformats.org/officeDocument/2006/docPropsVTypes">
  <Template>Normal.dotm</Template>
  <TotalTime>2</TotalTime>
  <Pages>3</Pages>
  <Words>552</Words>
  <Characters>3764</Characters>
  <Application>Microsoft Office Word</Application>
  <DocSecurity>0</DocSecurity>
  <Lines>78</Lines>
  <Paragraphs>61</Paragraphs>
  <ScaleCrop>false</ScaleCrop>
  <HeadingPairs>
    <vt:vector size="2" baseType="variant">
      <vt:variant>
        <vt:lpstr>Title</vt:lpstr>
      </vt:variant>
      <vt:variant>
        <vt:i4>1</vt:i4>
      </vt:variant>
    </vt:vector>
  </HeadingPairs>
  <TitlesOfParts>
    <vt:vector size="1" baseType="lpstr">
      <vt:lpstr>Daraprim PA Policy 1341-A UDR 01-2024a</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Daraprim PA 1341-A 01-2025_R</dc:title>
  <dc:subject>Daraprim PA 1341-A 01-2025_R</dc:subject>
  <dc:creator>CVS Caremark</dc:creator>
  <cp:keywords/>
  <cp:lastModifiedBy>Ortiz, Erica M</cp:lastModifiedBy>
  <cp:revision>5</cp:revision>
  <cp:lastPrinted>2024-04-05T13:38:00Z</cp:lastPrinted>
  <dcterms:created xsi:type="dcterms:W3CDTF">2025-04-17T21:07:00Z</dcterms:created>
  <dcterms:modified xsi:type="dcterms:W3CDTF">2025-04-17T21:09:00Z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145700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